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498" w:type="dxa"/>
        <w:tblInd w:w="-289" w:type="dxa"/>
        <w:tblLook w:val="04A0" w:firstRow="1" w:lastRow="0" w:firstColumn="1" w:lastColumn="0" w:noHBand="0" w:noVBand="1"/>
      </w:tblPr>
      <w:tblGrid>
        <w:gridCol w:w="9498"/>
      </w:tblGrid>
      <w:tr w:rsidR="00F75C94" w14:paraId="7EA42547" w14:textId="77777777" w:rsidTr="00F75C94">
        <w:tc>
          <w:tcPr>
            <w:tcW w:w="9498" w:type="dxa"/>
            <w:shd w:val="clear" w:color="auto" w:fill="E8E8E8" w:themeFill="background2"/>
          </w:tcPr>
          <w:p w14:paraId="60217576" w14:textId="77777777" w:rsidR="00F75C94" w:rsidRPr="00D811A7" w:rsidRDefault="00F75C94" w:rsidP="0019727B">
            <w:pPr>
              <w:jc w:val="center"/>
              <w:rPr>
                <w:rFonts w:ascii="Verdana" w:hAnsi="Verdana"/>
                <w:b/>
                <w:bCs/>
              </w:rPr>
            </w:pPr>
            <w:r w:rsidRPr="00D811A7">
              <w:rPr>
                <w:rFonts w:ascii="Verdana" w:hAnsi="Verdana"/>
                <w:b/>
                <w:bCs/>
              </w:rPr>
              <w:t>Tema</w:t>
            </w:r>
          </w:p>
        </w:tc>
      </w:tr>
      <w:tr w:rsidR="00F75C94" w14:paraId="2C0E04E7" w14:textId="77777777" w:rsidTr="00F75C94">
        <w:tc>
          <w:tcPr>
            <w:tcW w:w="9498" w:type="dxa"/>
          </w:tcPr>
          <w:p w14:paraId="7A3706D5" w14:textId="77777777" w:rsidR="00F75C94" w:rsidRPr="00D811A7" w:rsidRDefault="00F75C94" w:rsidP="0019727B">
            <w:pPr>
              <w:jc w:val="both"/>
              <w:rPr>
                <w:rFonts w:ascii="Verdana" w:hAnsi="Verdana"/>
              </w:rPr>
            </w:pPr>
            <w:r w:rsidRPr="007259DD">
              <w:rPr>
                <w:rFonts w:ascii="Verdana" w:hAnsi="Verdana"/>
              </w:rPr>
              <w:t>Compatibilidad entre intereses moratorios e indexación en el cumplimiento de condenas judiciales.</w:t>
            </w:r>
          </w:p>
        </w:tc>
      </w:tr>
      <w:tr w:rsidR="00F75C94" w14:paraId="710D59E8" w14:textId="77777777" w:rsidTr="00F75C94">
        <w:tc>
          <w:tcPr>
            <w:tcW w:w="9498" w:type="dxa"/>
            <w:shd w:val="clear" w:color="auto" w:fill="E8E8E8" w:themeFill="background2"/>
          </w:tcPr>
          <w:p w14:paraId="30DEDE92" w14:textId="77777777" w:rsidR="00F75C94" w:rsidRPr="00D811A7" w:rsidRDefault="00F75C94" w:rsidP="0019727B">
            <w:pPr>
              <w:jc w:val="center"/>
              <w:rPr>
                <w:rFonts w:ascii="Verdana" w:hAnsi="Verdana"/>
                <w:b/>
                <w:bCs/>
              </w:rPr>
            </w:pPr>
            <w:r>
              <w:rPr>
                <w:rFonts w:ascii="Verdana" w:hAnsi="Verdana"/>
                <w:b/>
                <w:bCs/>
              </w:rPr>
              <w:t>CRM</w:t>
            </w:r>
          </w:p>
        </w:tc>
      </w:tr>
      <w:tr w:rsidR="00F75C94" w:rsidRPr="00654E1F" w14:paraId="172642C8" w14:textId="77777777" w:rsidTr="00F75C94">
        <w:tc>
          <w:tcPr>
            <w:tcW w:w="9498" w:type="dxa"/>
          </w:tcPr>
          <w:p w14:paraId="283F1570" w14:textId="77777777" w:rsidR="00F75C94" w:rsidRPr="00654E1F" w:rsidRDefault="00F75C94" w:rsidP="0019727B">
            <w:pPr>
              <w:jc w:val="center"/>
              <w:rPr>
                <w:rFonts w:ascii="Verdana" w:hAnsi="Verdana"/>
              </w:rPr>
            </w:pPr>
            <w:r>
              <w:rPr>
                <w:rFonts w:ascii="Verdana" w:eastAsia="Verdana" w:hAnsi="Verdana"/>
              </w:rPr>
              <w:t>57892</w:t>
            </w:r>
          </w:p>
        </w:tc>
      </w:tr>
      <w:tr w:rsidR="00F75C94" w14:paraId="78B319F6" w14:textId="77777777" w:rsidTr="00F75C94">
        <w:tc>
          <w:tcPr>
            <w:tcW w:w="9498" w:type="dxa"/>
            <w:shd w:val="clear" w:color="auto" w:fill="E8E8E8" w:themeFill="background2"/>
          </w:tcPr>
          <w:p w14:paraId="31DCA502" w14:textId="77777777" w:rsidR="00F75C94" w:rsidRPr="00D811A7" w:rsidRDefault="00F75C94" w:rsidP="0019727B">
            <w:pPr>
              <w:jc w:val="center"/>
              <w:rPr>
                <w:rFonts w:ascii="Verdana" w:hAnsi="Verdana"/>
                <w:b/>
                <w:bCs/>
              </w:rPr>
            </w:pPr>
            <w:r w:rsidRPr="00D811A7">
              <w:rPr>
                <w:rFonts w:ascii="Verdana" w:hAnsi="Verdana"/>
                <w:b/>
                <w:bCs/>
              </w:rPr>
              <w:t>Problema(s) jurídico(s)</w:t>
            </w:r>
          </w:p>
        </w:tc>
      </w:tr>
      <w:tr w:rsidR="00F75C94" w14:paraId="3C4DA2AB" w14:textId="77777777" w:rsidTr="00F75C94">
        <w:tc>
          <w:tcPr>
            <w:tcW w:w="9498" w:type="dxa"/>
          </w:tcPr>
          <w:p w14:paraId="3E28BFAA" w14:textId="3F1CCF76" w:rsidR="00F75C94" w:rsidRPr="00D811A7" w:rsidRDefault="00F75C94" w:rsidP="00F75C94">
            <w:pPr>
              <w:jc w:val="both"/>
              <w:rPr>
                <w:rFonts w:ascii="Verdana" w:hAnsi="Verdana"/>
              </w:rPr>
            </w:pPr>
            <w:r w:rsidRPr="007259DD">
              <w:rPr>
                <w:rFonts w:ascii="Verdana" w:hAnsi="Verdana"/>
              </w:rPr>
              <w:t>¿Es procedente pagar simultáneamente la indexación y los intereses moratorios cuando ambos han sido ordenados en una sentencia judicial ejecutiva?</w:t>
            </w:r>
            <w:r>
              <w:rPr>
                <w:rFonts w:ascii="Verdana" w:hAnsi="Verdana"/>
              </w:rPr>
              <w:t xml:space="preserve">; </w:t>
            </w:r>
            <w:r w:rsidRPr="007259DD">
              <w:rPr>
                <w:rFonts w:ascii="Verdana" w:hAnsi="Verdana"/>
              </w:rPr>
              <w:t xml:space="preserve">¿Cuál de las tres modalidades de pago propuestas por la entidad resulta ajustada a </w:t>
            </w:r>
            <w:proofErr w:type="gramStart"/>
            <w:r w:rsidRPr="007259DD">
              <w:rPr>
                <w:rFonts w:ascii="Verdana" w:hAnsi="Verdana"/>
              </w:rPr>
              <w:t>derecho?</w:t>
            </w:r>
            <w:r>
              <w:rPr>
                <w:rFonts w:ascii="Verdana" w:hAnsi="Verdana"/>
              </w:rPr>
              <w:t>.</w:t>
            </w:r>
            <w:proofErr w:type="gramEnd"/>
            <w:r>
              <w:rPr>
                <w:rFonts w:ascii="Verdana" w:hAnsi="Verdana"/>
              </w:rPr>
              <w:t xml:space="preserve"> </w:t>
            </w:r>
          </w:p>
        </w:tc>
      </w:tr>
      <w:tr w:rsidR="00F75C94" w14:paraId="32A4D916" w14:textId="77777777" w:rsidTr="00F75C94">
        <w:tc>
          <w:tcPr>
            <w:tcW w:w="9498" w:type="dxa"/>
            <w:shd w:val="clear" w:color="auto" w:fill="E8E8E8" w:themeFill="background2"/>
          </w:tcPr>
          <w:p w14:paraId="09663FA9" w14:textId="77777777" w:rsidR="00F75C94" w:rsidRPr="00D811A7" w:rsidRDefault="00F75C94" w:rsidP="0019727B">
            <w:pPr>
              <w:jc w:val="center"/>
              <w:rPr>
                <w:rFonts w:ascii="Verdana" w:hAnsi="Verdana"/>
                <w:b/>
                <w:bCs/>
              </w:rPr>
            </w:pPr>
            <w:r w:rsidRPr="00D811A7">
              <w:rPr>
                <w:rFonts w:ascii="Verdana" w:hAnsi="Verdana"/>
                <w:b/>
                <w:bCs/>
              </w:rPr>
              <w:t>Análisis jurídico</w:t>
            </w:r>
          </w:p>
        </w:tc>
      </w:tr>
      <w:tr w:rsidR="00F75C94" w14:paraId="0184E545" w14:textId="77777777" w:rsidTr="00F75C94">
        <w:tc>
          <w:tcPr>
            <w:tcW w:w="9498" w:type="dxa"/>
          </w:tcPr>
          <w:p w14:paraId="7928FEA6" w14:textId="77777777" w:rsidR="00F75C94" w:rsidRDefault="00F75C94" w:rsidP="0019727B">
            <w:pPr>
              <w:jc w:val="both"/>
              <w:rPr>
                <w:rFonts w:ascii="Verdana" w:hAnsi="Verdana"/>
              </w:rPr>
            </w:pPr>
            <w:r w:rsidRPr="007259DD">
              <w:rPr>
                <w:rFonts w:ascii="Verdana" w:hAnsi="Verdana"/>
              </w:rPr>
              <w:t>El artículo 187 del CPACA establece que las condenas de pago impuestas por la Jurisdicción de lo Contencioso Administrativo deben ajustarse conforme al Índice de Precios al Consumidor (IPC), con el fin de preservar el valor adquisitivo del dinero (indexación).</w:t>
            </w:r>
          </w:p>
          <w:p w14:paraId="34BE2875" w14:textId="77777777" w:rsidR="00F75C94" w:rsidRPr="007259DD" w:rsidRDefault="00F75C94" w:rsidP="0019727B">
            <w:pPr>
              <w:jc w:val="both"/>
              <w:rPr>
                <w:rFonts w:ascii="Verdana" w:hAnsi="Verdana"/>
              </w:rPr>
            </w:pPr>
          </w:p>
          <w:p w14:paraId="7E22D79B" w14:textId="77777777" w:rsidR="00F75C94" w:rsidRDefault="00F75C94" w:rsidP="0019727B">
            <w:pPr>
              <w:jc w:val="both"/>
              <w:rPr>
                <w:rFonts w:ascii="Verdana" w:hAnsi="Verdana"/>
              </w:rPr>
            </w:pPr>
            <w:r w:rsidRPr="007259DD">
              <w:rPr>
                <w:rFonts w:ascii="Verdana" w:hAnsi="Verdana"/>
              </w:rPr>
              <w:t>A su vez, el numeral 4 del artículo 195 del CPACA establece que las sumas de dinero reconocidas judicialmente generarán intereses moratorios, inicialmente a la tasa DTF durante los primeros 10 meses y luego a la tasa comercial, desde la ejecutoria del fallo y hasta el pago efectivo.</w:t>
            </w:r>
          </w:p>
          <w:p w14:paraId="19B663FA" w14:textId="77777777" w:rsidR="00F75C94" w:rsidRPr="007259DD" w:rsidRDefault="00F75C94" w:rsidP="0019727B">
            <w:pPr>
              <w:jc w:val="both"/>
              <w:rPr>
                <w:rFonts w:ascii="Verdana" w:hAnsi="Verdana"/>
              </w:rPr>
            </w:pPr>
          </w:p>
          <w:p w14:paraId="05261B4E" w14:textId="77777777" w:rsidR="00F75C94" w:rsidRDefault="00F75C94" w:rsidP="0019727B">
            <w:pPr>
              <w:jc w:val="both"/>
              <w:rPr>
                <w:rFonts w:ascii="Verdana" w:hAnsi="Verdana"/>
              </w:rPr>
            </w:pPr>
            <w:r w:rsidRPr="007259DD">
              <w:rPr>
                <w:rFonts w:ascii="Verdana" w:hAnsi="Verdana"/>
              </w:rPr>
              <w:t>La jurisprudencia del Consejo de Estado (sentencia del 16 de agosto de 2018, rad. 2633-2017) ha precisado que la indexación y los intereses moratorios no son compatibles cuando se reconocen para el mismo periodo de tiempo, pues ambos buscan compensar la devaluación del dinero, lo que conduciría a un doble pago por la misma causa</w:t>
            </w:r>
            <w:r>
              <w:rPr>
                <w:rFonts w:ascii="Verdana" w:hAnsi="Verdana"/>
              </w:rPr>
              <w:t>, s</w:t>
            </w:r>
            <w:r w:rsidRPr="007259DD">
              <w:rPr>
                <w:rFonts w:ascii="Verdana" w:hAnsi="Verdana"/>
              </w:rPr>
              <w:t>in embargo, sí pueden coexistir cuando cubren periodos diferentes.</w:t>
            </w:r>
          </w:p>
          <w:p w14:paraId="21F23CA1" w14:textId="77777777" w:rsidR="00F75C94" w:rsidRPr="007259DD" w:rsidRDefault="00F75C94" w:rsidP="0019727B">
            <w:pPr>
              <w:jc w:val="both"/>
              <w:rPr>
                <w:rFonts w:ascii="Verdana" w:hAnsi="Verdana"/>
              </w:rPr>
            </w:pPr>
          </w:p>
          <w:p w14:paraId="677152DD" w14:textId="5609F63A" w:rsidR="00F75C94" w:rsidRPr="007259DD" w:rsidRDefault="00F75C94" w:rsidP="0019727B">
            <w:pPr>
              <w:jc w:val="both"/>
              <w:rPr>
                <w:rFonts w:ascii="Verdana" w:hAnsi="Verdana"/>
              </w:rPr>
            </w:pPr>
            <w:r w:rsidRPr="007259DD">
              <w:rPr>
                <w:rFonts w:ascii="Verdana" w:hAnsi="Verdana"/>
              </w:rPr>
              <w:t>En el caso consultado, el juez ordenó el pago de:</w:t>
            </w:r>
            <w:r>
              <w:rPr>
                <w:rFonts w:ascii="Verdana" w:hAnsi="Verdana"/>
              </w:rPr>
              <w:t xml:space="preserve"> </w:t>
            </w:r>
            <w:r w:rsidRPr="007259DD">
              <w:rPr>
                <w:rFonts w:ascii="Verdana" w:hAnsi="Verdana"/>
              </w:rPr>
              <w:t>Indexación desde la exigibilidad de las sumas (retroactividad de primas) hasta la ejecutoria de la sentencia</w:t>
            </w:r>
            <w:r>
              <w:rPr>
                <w:rFonts w:ascii="Verdana" w:hAnsi="Verdana"/>
              </w:rPr>
              <w:t xml:space="preserve">; </w:t>
            </w:r>
            <w:r w:rsidRPr="007259DD">
              <w:rPr>
                <w:rFonts w:ascii="Verdana" w:hAnsi="Verdana"/>
              </w:rPr>
              <w:t>Intereses moratorios desde la ejecutoria hasta el pago efectivo.</w:t>
            </w:r>
            <w:r>
              <w:rPr>
                <w:rFonts w:ascii="Verdana" w:hAnsi="Verdana"/>
              </w:rPr>
              <w:t xml:space="preserve"> </w:t>
            </w:r>
            <w:r w:rsidRPr="007259DD">
              <w:rPr>
                <w:rFonts w:ascii="Verdana" w:hAnsi="Verdana"/>
              </w:rPr>
              <w:t>Al tratarse de periodos no superpuestos, no hay incompatibilidad entre los conceptos, por lo que es jurídicamente viable cumplir el fallo con base en ambos rubros</w:t>
            </w:r>
            <w:r>
              <w:rPr>
                <w:rFonts w:ascii="Verdana" w:hAnsi="Verdana"/>
              </w:rPr>
              <w:t>. Es distinto el régimen si el origen de la obligación es de contratación pública, pues el inciso segundo del numeral 8 del artículo 4 de la Ley 80 de 1993 contempla expresamente la posibilidad de esa concurrencia.</w:t>
            </w:r>
          </w:p>
        </w:tc>
      </w:tr>
      <w:tr w:rsidR="00F75C94" w14:paraId="074296BA" w14:textId="77777777" w:rsidTr="00F75C94">
        <w:tc>
          <w:tcPr>
            <w:tcW w:w="9498" w:type="dxa"/>
            <w:shd w:val="clear" w:color="auto" w:fill="E8E8E8" w:themeFill="background2"/>
          </w:tcPr>
          <w:p w14:paraId="625C3AA4" w14:textId="77777777" w:rsidR="00F75C94" w:rsidRPr="00D811A7" w:rsidRDefault="00F75C94" w:rsidP="0019727B">
            <w:pPr>
              <w:jc w:val="center"/>
              <w:rPr>
                <w:rFonts w:ascii="Verdana" w:hAnsi="Verdana"/>
                <w:b/>
                <w:bCs/>
              </w:rPr>
            </w:pPr>
            <w:r w:rsidRPr="00D811A7">
              <w:rPr>
                <w:rFonts w:ascii="Verdana" w:hAnsi="Verdana"/>
                <w:b/>
                <w:bCs/>
              </w:rPr>
              <w:t>Respuesta</w:t>
            </w:r>
          </w:p>
        </w:tc>
      </w:tr>
      <w:tr w:rsidR="00F75C94" w14:paraId="6E12C08B" w14:textId="77777777" w:rsidTr="00F75C94">
        <w:tc>
          <w:tcPr>
            <w:tcW w:w="9498" w:type="dxa"/>
          </w:tcPr>
          <w:p w14:paraId="209D00CA" w14:textId="77777777" w:rsidR="00F75C94" w:rsidRDefault="00F75C94" w:rsidP="0019727B">
            <w:pPr>
              <w:jc w:val="both"/>
              <w:rPr>
                <w:rFonts w:ascii="Verdana" w:hAnsi="Verdana"/>
              </w:rPr>
            </w:pPr>
            <w:r>
              <w:rPr>
                <w:rFonts w:ascii="Verdana" w:hAnsi="Verdana"/>
              </w:rPr>
              <w:t>E</w:t>
            </w:r>
            <w:r w:rsidRPr="007259DD">
              <w:rPr>
                <w:rFonts w:ascii="Verdana" w:hAnsi="Verdana"/>
              </w:rPr>
              <w:t>s jurídicamente procedente pagar tanto la indexación como los intereses moratorios, siempre que estos se hayan ordenado judicialmente para periodos distintos, como ocurre en el caso consultado.</w:t>
            </w:r>
          </w:p>
          <w:p w14:paraId="42340718" w14:textId="77777777" w:rsidR="00F75C94" w:rsidRPr="007259DD" w:rsidRDefault="00F75C94" w:rsidP="0019727B">
            <w:pPr>
              <w:jc w:val="both"/>
              <w:rPr>
                <w:rFonts w:ascii="Verdana" w:hAnsi="Verdana"/>
              </w:rPr>
            </w:pPr>
          </w:p>
          <w:p w14:paraId="0FAE50A5" w14:textId="29C1C6D5" w:rsidR="00F75C94" w:rsidRDefault="00F75C94" w:rsidP="00F75C94">
            <w:pPr>
              <w:jc w:val="both"/>
              <w:rPr>
                <w:rFonts w:ascii="Verdana" w:hAnsi="Verdana"/>
              </w:rPr>
            </w:pPr>
            <w:r w:rsidRPr="007259DD">
              <w:rPr>
                <w:rFonts w:ascii="Verdana" w:hAnsi="Verdana"/>
              </w:rPr>
              <w:t xml:space="preserve">La opción a) propuesta por la </w:t>
            </w:r>
            <w:r>
              <w:rPr>
                <w:rFonts w:ascii="Verdana" w:hAnsi="Verdana"/>
              </w:rPr>
              <w:t>consultante</w:t>
            </w:r>
            <w:r w:rsidRPr="007259DD">
              <w:rPr>
                <w:rFonts w:ascii="Verdana" w:hAnsi="Verdana"/>
              </w:rPr>
              <w:t xml:space="preserve"> —que incluye retroactividad de primas, indexación hasta la ejecutoria y moratorios desde esa fecha hasta el pago— es la jurídicamente correcta, ya que</w:t>
            </w:r>
            <w:r>
              <w:rPr>
                <w:rFonts w:ascii="Verdana" w:hAnsi="Verdana"/>
              </w:rPr>
              <w:t xml:space="preserve"> (i) </w:t>
            </w:r>
            <w:r w:rsidRPr="007259DD">
              <w:rPr>
                <w:rFonts w:ascii="Verdana" w:hAnsi="Verdana"/>
              </w:rPr>
              <w:t>Cumple integralmente lo ordenado en la sentencia</w:t>
            </w:r>
            <w:r>
              <w:rPr>
                <w:rFonts w:ascii="Verdana" w:hAnsi="Verdana"/>
              </w:rPr>
              <w:t>; (</w:t>
            </w:r>
            <w:proofErr w:type="spellStart"/>
            <w:r>
              <w:rPr>
                <w:rFonts w:ascii="Verdana" w:hAnsi="Verdana"/>
              </w:rPr>
              <w:t>ii</w:t>
            </w:r>
            <w:proofErr w:type="spellEnd"/>
            <w:r>
              <w:rPr>
                <w:rFonts w:ascii="Verdana" w:hAnsi="Verdana"/>
              </w:rPr>
              <w:t xml:space="preserve">) </w:t>
            </w:r>
            <w:r w:rsidRPr="007259DD">
              <w:rPr>
                <w:rFonts w:ascii="Verdana" w:hAnsi="Verdana"/>
              </w:rPr>
              <w:t>Evita la duplicidad de compensaciones por un mismo concepto</w:t>
            </w:r>
            <w:r>
              <w:rPr>
                <w:rFonts w:ascii="Verdana" w:hAnsi="Verdana"/>
              </w:rPr>
              <w:t>; (</w:t>
            </w:r>
            <w:proofErr w:type="spellStart"/>
            <w:r>
              <w:rPr>
                <w:rFonts w:ascii="Verdana" w:hAnsi="Verdana"/>
              </w:rPr>
              <w:t>iii</w:t>
            </w:r>
            <w:proofErr w:type="spellEnd"/>
            <w:r>
              <w:rPr>
                <w:rFonts w:ascii="Verdana" w:hAnsi="Verdana"/>
              </w:rPr>
              <w:t xml:space="preserve">) </w:t>
            </w:r>
            <w:r w:rsidRPr="007259DD">
              <w:rPr>
                <w:rFonts w:ascii="Verdana" w:hAnsi="Verdana"/>
              </w:rPr>
              <w:t>Se ajusta a los artículos 187 y 195 del CPACA y a la jurisprudencia vigente.</w:t>
            </w:r>
          </w:p>
          <w:p w14:paraId="2D5886DC" w14:textId="77777777" w:rsidR="00F75C94" w:rsidRPr="007259DD" w:rsidRDefault="00F75C94" w:rsidP="0019727B">
            <w:pPr>
              <w:ind w:left="720"/>
              <w:jc w:val="both"/>
              <w:rPr>
                <w:rFonts w:ascii="Verdana" w:hAnsi="Verdana"/>
              </w:rPr>
            </w:pPr>
          </w:p>
          <w:p w14:paraId="383A7340" w14:textId="77777777" w:rsidR="00F75C94" w:rsidRDefault="00F75C94" w:rsidP="0019727B">
            <w:pPr>
              <w:jc w:val="both"/>
              <w:rPr>
                <w:rFonts w:ascii="Verdana" w:hAnsi="Verdana"/>
              </w:rPr>
            </w:pPr>
            <w:r w:rsidRPr="007259DD">
              <w:rPr>
                <w:rFonts w:ascii="Verdana" w:hAnsi="Verdana"/>
              </w:rPr>
              <w:lastRenderedPageBreak/>
              <w:t>En contraste, las opciones b) (solo indexación) y c) (solo intereses) resultarían incompletas frente a lo decidido por el juez y podrían vulnerar los derechos del acreedor.</w:t>
            </w:r>
          </w:p>
          <w:p w14:paraId="3564231C" w14:textId="77777777" w:rsidR="00F75C94" w:rsidRDefault="00F75C94" w:rsidP="0019727B">
            <w:pPr>
              <w:jc w:val="both"/>
              <w:rPr>
                <w:rFonts w:ascii="Verdana" w:hAnsi="Verdana"/>
              </w:rPr>
            </w:pPr>
          </w:p>
          <w:p w14:paraId="5DA3C03D" w14:textId="77777777" w:rsidR="00F75C94" w:rsidRPr="007259DD" w:rsidRDefault="00F75C94" w:rsidP="0019727B">
            <w:pPr>
              <w:jc w:val="both"/>
              <w:rPr>
                <w:rFonts w:ascii="Verdana" w:hAnsi="Verdana"/>
              </w:rPr>
            </w:pPr>
            <w:r>
              <w:rPr>
                <w:rFonts w:ascii="Verdana" w:hAnsi="Verdana"/>
              </w:rPr>
              <w:t xml:space="preserve">En materia de contratación pública sí es viable la </w:t>
            </w:r>
            <w:proofErr w:type="spellStart"/>
            <w:r>
              <w:rPr>
                <w:rFonts w:ascii="Verdana" w:hAnsi="Verdana"/>
              </w:rPr>
              <w:t>causación</w:t>
            </w:r>
            <w:proofErr w:type="spellEnd"/>
            <w:r>
              <w:rPr>
                <w:rFonts w:ascii="Verdana" w:hAnsi="Verdana"/>
              </w:rPr>
              <w:t xml:space="preserve"> de intereses moratorios e indexación para el mismo periodo.</w:t>
            </w:r>
          </w:p>
        </w:tc>
      </w:tr>
    </w:tbl>
    <w:p w14:paraId="60719346" w14:textId="77777777" w:rsidR="00F75C94" w:rsidRPr="00D811A7" w:rsidRDefault="00F75C94" w:rsidP="00F75C94"/>
    <w:p w14:paraId="215E1BFA" w14:textId="77777777" w:rsidR="006563FE" w:rsidRPr="00F75C94" w:rsidRDefault="006563FE" w:rsidP="00F75C94"/>
    <w:sectPr w:rsidR="006563FE" w:rsidRPr="00F75C94" w:rsidSect="00F75C94">
      <w:headerReference w:type="default" r:id="rId5"/>
      <w:footerReference w:type="default" r:id="rId6"/>
      <w:pgSz w:w="12240" w:h="15840"/>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CB4E92B" w14:textId="77777777" w:rsidR="00F75C94" w:rsidRDefault="00F75C94"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0361EFB7" w14:textId="77777777" w:rsidR="00F75C94" w:rsidRPr="00D34D20" w:rsidRDefault="00F75C94" w:rsidP="00D34D20">
    <w:pPr>
      <w:spacing w:line="276" w:lineRule="auto"/>
      <w:jc w:val="both"/>
      <w:rPr>
        <w:rFonts w:ascii="Helvetica" w:hAnsi="Helvetic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7B63" w14:textId="77777777" w:rsidR="00F75C94" w:rsidRDefault="00F75C94">
    <w:pPr>
      <w:pStyle w:val="Encabezado"/>
    </w:pPr>
    <w:r>
      <w:rPr>
        <w:noProof/>
        <w14:ligatures w14:val="standardContextual"/>
      </w:rPr>
      <w:drawing>
        <wp:inline distT="0" distB="0" distL="0" distR="0" wp14:anchorId="7488B117" wp14:editId="3AFEBDA6">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59BE55F5" wp14:editId="75F46ADF">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A45BE"/>
    <w:multiLevelType w:val="multilevel"/>
    <w:tmpl w:val="9B2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093BDD"/>
    <w:multiLevelType w:val="multilevel"/>
    <w:tmpl w:val="BD0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999935">
    <w:abstractNumId w:val="1"/>
  </w:num>
  <w:num w:numId="2" w16cid:durableId="44512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94"/>
    <w:rsid w:val="00045689"/>
    <w:rsid w:val="006563FE"/>
    <w:rsid w:val="006A1B54"/>
    <w:rsid w:val="00F75C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B212"/>
  <w15:chartTrackingRefBased/>
  <w15:docId w15:val="{B4EB037D-6681-4500-8C88-02ACA31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94"/>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F7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5C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5C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5C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5C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5C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5C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5C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5C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5C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5C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5C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5C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5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5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5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5C94"/>
    <w:rPr>
      <w:rFonts w:eastAsiaTheme="majorEastAsia" w:cstheme="majorBidi"/>
      <w:color w:val="272727" w:themeColor="text1" w:themeTint="D8"/>
    </w:rPr>
  </w:style>
  <w:style w:type="paragraph" w:styleId="Ttulo">
    <w:name w:val="Title"/>
    <w:basedOn w:val="Normal"/>
    <w:next w:val="Normal"/>
    <w:link w:val="TtuloCar"/>
    <w:uiPriority w:val="10"/>
    <w:qFormat/>
    <w:rsid w:val="00F75C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5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5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5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5C94"/>
    <w:pPr>
      <w:spacing w:before="160"/>
      <w:jc w:val="center"/>
    </w:pPr>
    <w:rPr>
      <w:i/>
      <w:iCs/>
      <w:color w:val="404040" w:themeColor="text1" w:themeTint="BF"/>
    </w:rPr>
  </w:style>
  <w:style w:type="character" w:customStyle="1" w:styleId="CitaCar">
    <w:name w:val="Cita Car"/>
    <w:basedOn w:val="Fuentedeprrafopredeter"/>
    <w:link w:val="Cita"/>
    <w:uiPriority w:val="29"/>
    <w:rsid w:val="00F75C94"/>
    <w:rPr>
      <w:i/>
      <w:iCs/>
      <w:color w:val="404040" w:themeColor="text1" w:themeTint="BF"/>
    </w:rPr>
  </w:style>
  <w:style w:type="paragraph" w:styleId="Prrafodelista">
    <w:name w:val="List Paragraph"/>
    <w:basedOn w:val="Normal"/>
    <w:uiPriority w:val="34"/>
    <w:qFormat/>
    <w:rsid w:val="00F75C94"/>
    <w:pPr>
      <w:ind w:left="720"/>
      <w:contextualSpacing/>
    </w:pPr>
  </w:style>
  <w:style w:type="character" w:styleId="nfasisintenso">
    <w:name w:val="Intense Emphasis"/>
    <w:basedOn w:val="Fuentedeprrafopredeter"/>
    <w:uiPriority w:val="21"/>
    <w:qFormat/>
    <w:rsid w:val="00F75C94"/>
    <w:rPr>
      <w:i/>
      <w:iCs/>
      <w:color w:val="0F4761" w:themeColor="accent1" w:themeShade="BF"/>
    </w:rPr>
  </w:style>
  <w:style w:type="paragraph" w:styleId="Citadestacada">
    <w:name w:val="Intense Quote"/>
    <w:basedOn w:val="Normal"/>
    <w:next w:val="Normal"/>
    <w:link w:val="CitadestacadaCar"/>
    <w:uiPriority w:val="30"/>
    <w:qFormat/>
    <w:rsid w:val="00F7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5C94"/>
    <w:rPr>
      <w:i/>
      <w:iCs/>
      <w:color w:val="0F4761" w:themeColor="accent1" w:themeShade="BF"/>
    </w:rPr>
  </w:style>
  <w:style w:type="character" w:styleId="Referenciaintensa">
    <w:name w:val="Intense Reference"/>
    <w:basedOn w:val="Fuentedeprrafopredeter"/>
    <w:uiPriority w:val="32"/>
    <w:qFormat/>
    <w:rsid w:val="00F75C94"/>
    <w:rPr>
      <w:b/>
      <w:bCs/>
      <w:smallCaps/>
      <w:color w:val="0F4761" w:themeColor="accent1" w:themeShade="BF"/>
      <w:spacing w:val="5"/>
    </w:rPr>
  </w:style>
  <w:style w:type="paragraph" w:styleId="Encabezado">
    <w:name w:val="header"/>
    <w:basedOn w:val="Normal"/>
    <w:link w:val="EncabezadoCar"/>
    <w:uiPriority w:val="99"/>
    <w:unhideWhenUsed/>
    <w:rsid w:val="00F75C94"/>
    <w:pPr>
      <w:tabs>
        <w:tab w:val="center" w:pos="4419"/>
        <w:tab w:val="right" w:pos="8838"/>
      </w:tabs>
    </w:pPr>
  </w:style>
  <w:style w:type="character" w:customStyle="1" w:styleId="EncabezadoCar">
    <w:name w:val="Encabezado Car"/>
    <w:basedOn w:val="Fuentedeprrafopredeter"/>
    <w:link w:val="Encabezado"/>
    <w:uiPriority w:val="99"/>
    <w:rsid w:val="00F75C94"/>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F75C94"/>
    <w:pPr>
      <w:tabs>
        <w:tab w:val="center" w:pos="4419"/>
        <w:tab w:val="right" w:pos="8838"/>
      </w:tabs>
    </w:pPr>
  </w:style>
  <w:style w:type="character" w:customStyle="1" w:styleId="PiedepginaCar">
    <w:name w:val="Pie de página Car"/>
    <w:basedOn w:val="Fuentedeprrafopredeter"/>
    <w:link w:val="Piedepgina"/>
    <w:uiPriority w:val="99"/>
    <w:rsid w:val="00F75C94"/>
    <w:rPr>
      <w:rFonts w:ascii="Times New Roman" w:eastAsia="Times New Roman" w:hAnsi="Times New Roman" w:cs="Times New Roman"/>
      <w:kern w:val="0"/>
      <w:lang w:eastAsia="es-CO"/>
      <w14:ligatures w14:val="none"/>
    </w:rPr>
  </w:style>
  <w:style w:type="table" w:styleId="Tablaconcuadrcula">
    <w:name w:val="Table Grid"/>
    <w:basedOn w:val="Tablanormal"/>
    <w:uiPriority w:val="39"/>
    <w:rsid w:val="00F75C94"/>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E84595C-7306-4B3F-A1A0-A56E56CE8B3A}"/>
</file>

<file path=customXml/itemProps2.xml><?xml version="1.0" encoding="utf-8"?>
<ds:datastoreItem xmlns:ds="http://schemas.openxmlformats.org/officeDocument/2006/customXml" ds:itemID="{D806572D-749E-41A5-A3F1-BC1EECC82A86}"/>
</file>

<file path=customXml/itemProps3.xml><?xml version="1.0" encoding="utf-8"?>
<ds:datastoreItem xmlns:ds="http://schemas.openxmlformats.org/officeDocument/2006/customXml" ds:itemID="{FE58178B-2736-4DD0-B4EF-53A13C922EEF}"/>
</file>

<file path=docProps/app.xml><?xml version="1.0" encoding="utf-8"?>
<Properties xmlns="http://schemas.openxmlformats.org/officeDocument/2006/extended-properties" xmlns:vt="http://schemas.openxmlformats.org/officeDocument/2006/docPropsVTypes">
  <Template>Normal</Template>
  <TotalTime>7</TotalTime>
  <Pages>2</Pages>
  <Words>439</Words>
  <Characters>2418</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Alberto Realpe Mejia</dc:creator>
  <cp:keywords/>
  <dc:description/>
  <cp:lastModifiedBy>Daniel Alberto Realpe Mejia</cp:lastModifiedBy>
  <cp:revision>1</cp:revision>
  <dcterms:created xsi:type="dcterms:W3CDTF">2025-11-26T15:27:00Z</dcterms:created>
  <dcterms:modified xsi:type="dcterms:W3CDTF">2025-11-26T15:35:00Z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